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E1C8B">
      <w:pPr>
        <w:ind w:left="0" w:leftChars="0" w:firstLine="0" w:firstLineChars="0"/>
        <w:jc w:val="both"/>
        <w:rPr>
          <w:rFonts w:hint="eastAsia"/>
          <w:b/>
          <w:bCs/>
          <w:sz w:val="28"/>
          <w:szCs w:val="36"/>
          <w:lang w:val="en-US" w:eastAsia="zh-CN"/>
        </w:rPr>
      </w:pPr>
      <w:r>
        <w:rPr>
          <w:rFonts w:hint="eastAsia"/>
          <w:b/>
          <w:bCs/>
          <w:sz w:val="28"/>
          <w:szCs w:val="36"/>
          <w:lang w:val="en-US" w:eastAsia="zh-CN"/>
        </w:rPr>
        <w:t>附件1</w:t>
      </w:r>
    </w:p>
    <w:p w14:paraId="5E604B44">
      <w:pPr>
        <w:ind w:left="0" w:leftChars="0" w:firstLine="0" w:firstLineChars="0"/>
        <w:jc w:val="center"/>
        <w:rPr>
          <w:rFonts w:hint="eastAsia"/>
          <w:b/>
          <w:bCs/>
          <w:sz w:val="28"/>
          <w:szCs w:val="36"/>
          <w:lang w:eastAsia="zh-CN"/>
        </w:rPr>
      </w:pPr>
      <w:r>
        <w:rPr>
          <w:rFonts w:hint="eastAsia"/>
          <w:b/>
          <w:bCs/>
          <w:sz w:val="28"/>
          <w:szCs w:val="36"/>
          <w:lang w:eastAsia="zh-CN"/>
        </w:rPr>
        <w:t>福建省南平技师学院</w:t>
      </w:r>
    </w:p>
    <w:p w14:paraId="074687CB">
      <w:pPr>
        <w:ind w:left="0" w:leftChars="0" w:firstLine="0" w:firstLineChars="0"/>
        <w:jc w:val="center"/>
        <w:rPr>
          <w:rFonts w:hint="default"/>
          <w:b/>
          <w:bCs/>
          <w:sz w:val="28"/>
          <w:szCs w:val="36"/>
          <w:lang w:val="en-US" w:eastAsia="zh-CN"/>
        </w:rPr>
      </w:pPr>
      <w:r>
        <w:rPr>
          <w:rFonts w:hint="eastAsia"/>
          <w:b/>
          <w:bCs/>
          <w:sz w:val="28"/>
          <w:szCs w:val="36"/>
          <w:lang w:val="en-US" w:eastAsia="zh-CN"/>
        </w:rPr>
        <w:t>技术人员继续教育服务平台</w:t>
      </w:r>
      <w:r>
        <w:rPr>
          <w:rFonts w:hint="eastAsia"/>
          <w:b/>
          <w:bCs/>
          <w:sz w:val="28"/>
          <w:szCs w:val="36"/>
          <w:lang w:eastAsia="zh-CN"/>
        </w:rPr>
        <w:t>比选标准</w:t>
      </w:r>
      <w:r>
        <w:rPr>
          <w:rFonts w:hint="eastAsia"/>
          <w:b/>
          <w:bCs/>
          <w:sz w:val="28"/>
          <w:szCs w:val="36"/>
          <w:lang w:val="en-US" w:eastAsia="zh-CN"/>
        </w:rPr>
        <w:t>和评分方法</w:t>
      </w:r>
    </w:p>
    <w:tbl>
      <w:tblPr>
        <w:tblStyle w:val="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56"/>
        <w:gridCol w:w="709"/>
        <w:gridCol w:w="4574"/>
        <w:gridCol w:w="2977"/>
      </w:tblGrid>
      <w:tr w14:paraId="0D32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40" w:type="dxa"/>
            <w:vAlign w:val="center"/>
          </w:tcPr>
          <w:p w14:paraId="353A8681">
            <w:pPr>
              <w:pageBreakBefore w:val="0"/>
              <w:kinsoku/>
              <w:wordWrap/>
              <w:overflowPunct/>
              <w:topLinePunct w:val="0"/>
              <w:autoSpaceDE/>
              <w:autoSpaceDN/>
              <w:bidi w:val="0"/>
              <w:adjustRightInd/>
              <w:ind w:firstLine="0" w:firstLineChars="0"/>
              <w:jc w:val="center"/>
              <w:textAlignment w:val="auto"/>
              <w:rPr>
                <w:rFonts w:cs="宋体"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rPr>
              <w:t>序号</w:t>
            </w:r>
          </w:p>
        </w:tc>
        <w:tc>
          <w:tcPr>
            <w:tcW w:w="1256" w:type="dxa"/>
            <w:vAlign w:val="center"/>
          </w:tcPr>
          <w:p w14:paraId="0197BCD0">
            <w:pPr>
              <w:pageBreakBefore w:val="0"/>
              <w:kinsoku/>
              <w:wordWrap/>
              <w:overflowPunct/>
              <w:topLinePunct w:val="0"/>
              <w:autoSpaceDE/>
              <w:autoSpaceDN/>
              <w:bidi w:val="0"/>
              <w:adjustRightInd/>
              <w:ind w:firstLine="0" w:firstLineChars="0"/>
              <w:jc w:val="center"/>
              <w:textAlignment w:val="auto"/>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评分因素及权重</w:t>
            </w:r>
          </w:p>
        </w:tc>
        <w:tc>
          <w:tcPr>
            <w:tcW w:w="709" w:type="dxa"/>
            <w:vAlign w:val="center"/>
          </w:tcPr>
          <w:p w14:paraId="179A70B6">
            <w:pPr>
              <w:pageBreakBefore w:val="0"/>
              <w:kinsoku/>
              <w:wordWrap/>
              <w:overflowPunct/>
              <w:topLinePunct w:val="0"/>
              <w:autoSpaceDE/>
              <w:autoSpaceDN/>
              <w:bidi w:val="0"/>
              <w:adjustRightInd/>
              <w:ind w:firstLine="0" w:firstLineChars="0"/>
              <w:jc w:val="center"/>
              <w:textAlignment w:val="auto"/>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分值</w:t>
            </w:r>
          </w:p>
        </w:tc>
        <w:tc>
          <w:tcPr>
            <w:tcW w:w="4574" w:type="dxa"/>
            <w:vAlign w:val="center"/>
          </w:tcPr>
          <w:p w14:paraId="355542E8">
            <w:pPr>
              <w:pageBreakBefore w:val="0"/>
              <w:kinsoku/>
              <w:wordWrap/>
              <w:overflowPunct/>
              <w:topLinePunct w:val="0"/>
              <w:autoSpaceDE/>
              <w:autoSpaceDN/>
              <w:bidi w:val="0"/>
              <w:adjustRightInd/>
              <w:ind w:firstLine="0" w:firstLineChars="0"/>
              <w:jc w:val="center"/>
              <w:textAlignment w:val="auto"/>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评分标准</w:t>
            </w:r>
          </w:p>
        </w:tc>
        <w:tc>
          <w:tcPr>
            <w:tcW w:w="2977" w:type="dxa"/>
            <w:vAlign w:val="center"/>
          </w:tcPr>
          <w:p w14:paraId="62A7A109">
            <w:pPr>
              <w:pageBreakBefore w:val="0"/>
              <w:kinsoku/>
              <w:wordWrap/>
              <w:overflowPunct/>
              <w:topLinePunct w:val="0"/>
              <w:autoSpaceDE/>
              <w:autoSpaceDN/>
              <w:bidi w:val="0"/>
              <w:adjustRightInd/>
              <w:ind w:firstLine="0" w:firstLineChars="0"/>
              <w:jc w:val="center"/>
              <w:textAlignment w:val="auto"/>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说明</w:t>
            </w:r>
          </w:p>
        </w:tc>
      </w:tr>
      <w:tr w14:paraId="115F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Align w:val="center"/>
          </w:tcPr>
          <w:p w14:paraId="24D9E3C3">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w:t>
            </w:r>
          </w:p>
        </w:tc>
        <w:tc>
          <w:tcPr>
            <w:tcW w:w="1256" w:type="dxa"/>
            <w:vAlign w:val="center"/>
          </w:tcPr>
          <w:p w14:paraId="7A8DF2A4">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报价</w:t>
            </w: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分</w:t>
            </w:r>
          </w:p>
        </w:tc>
        <w:tc>
          <w:tcPr>
            <w:tcW w:w="709" w:type="dxa"/>
            <w:vAlign w:val="center"/>
          </w:tcPr>
          <w:p w14:paraId="782BEE72">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分</w:t>
            </w:r>
          </w:p>
        </w:tc>
        <w:tc>
          <w:tcPr>
            <w:tcW w:w="4574" w:type="dxa"/>
            <w:vAlign w:val="center"/>
          </w:tcPr>
          <w:p w14:paraId="10C38448">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满足采购需求文件要求且最后报价最低的服务商的价格为比价基准价，其价格分为满分。其他服务商的价格分统一按照下列公式计算：</w:t>
            </w:r>
          </w:p>
          <w:p w14:paraId="64A4DF71">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比价报价得分=(比价基准价/报价)×</w:t>
            </w: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%×100</w:t>
            </w:r>
          </w:p>
        </w:tc>
        <w:tc>
          <w:tcPr>
            <w:tcW w:w="2977" w:type="dxa"/>
            <w:vAlign w:val="center"/>
          </w:tcPr>
          <w:p w14:paraId="44896EC6">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r>
      <w:tr w14:paraId="22CB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Align w:val="center"/>
          </w:tcPr>
          <w:p w14:paraId="6EF1B611">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w:t>
            </w:r>
          </w:p>
        </w:tc>
        <w:tc>
          <w:tcPr>
            <w:tcW w:w="1256" w:type="dxa"/>
            <w:vAlign w:val="center"/>
          </w:tcPr>
          <w:p w14:paraId="6CA5973C">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技术</w:t>
            </w:r>
            <w:r>
              <w:rPr>
                <w:rFonts w:hint="eastAsia" w:cs="宋体" w:asciiTheme="minorEastAsia" w:hAnsiTheme="minorEastAsia" w:eastAsiaTheme="minorEastAsia"/>
                <w:sz w:val="21"/>
                <w:szCs w:val="21"/>
                <w:highlight w:val="none"/>
                <w:lang w:val="en-US" w:eastAsia="zh-CN"/>
              </w:rPr>
              <w:t>30</w:t>
            </w:r>
            <w:r>
              <w:rPr>
                <w:rFonts w:hint="eastAsia" w:cs="宋体" w:asciiTheme="minorEastAsia" w:hAnsiTheme="minorEastAsia" w:eastAsiaTheme="minorEastAsia"/>
                <w:sz w:val="21"/>
                <w:szCs w:val="21"/>
                <w:highlight w:val="none"/>
              </w:rPr>
              <w:t>分</w:t>
            </w:r>
          </w:p>
        </w:tc>
        <w:tc>
          <w:tcPr>
            <w:tcW w:w="709" w:type="dxa"/>
            <w:vAlign w:val="center"/>
          </w:tcPr>
          <w:p w14:paraId="7E62DCF3">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3</w:t>
            </w:r>
            <w:r>
              <w:rPr>
                <w:rFonts w:hint="eastAsia" w:cs="宋体" w:asciiTheme="minorEastAsia" w:hAnsiTheme="minorEastAsia" w:eastAsiaTheme="minorEastAsia"/>
                <w:sz w:val="21"/>
                <w:szCs w:val="21"/>
                <w:highlight w:val="none"/>
              </w:rPr>
              <w:t>0分</w:t>
            </w:r>
          </w:p>
        </w:tc>
        <w:tc>
          <w:tcPr>
            <w:tcW w:w="4574" w:type="dxa"/>
            <w:vAlign w:val="center"/>
          </w:tcPr>
          <w:p w14:paraId="2B51EA9F">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根据服务商对项目应用功能的整体设计、规划、解决方案，以及采购需求等进行综合评审：</w:t>
            </w:r>
          </w:p>
          <w:p w14:paraId="0DEFFA87">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方案完整，具有较强可行性、科学性、合理性，完全响应采购采购需求的得</w:t>
            </w:r>
            <w:r>
              <w:rPr>
                <w:rFonts w:hint="eastAsia" w:cs="宋体" w:asciiTheme="minorEastAsia" w:hAnsiTheme="minorEastAsia" w:eastAsiaTheme="minorEastAsia"/>
                <w:sz w:val="21"/>
                <w:szCs w:val="21"/>
                <w:highlight w:val="none"/>
                <w:lang w:val="en-US" w:eastAsia="zh-CN"/>
              </w:rPr>
              <w:t>30</w:t>
            </w:r>
            <w:r>
              <w:rPr>
                <w:rFonts w:hint="eastAsia"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lang w:val="en-US" w:eastAsia="zh-CN"/>
              </w:rPr>
              <w:t>25</w:t>
            </w:r>
            <w:r>
              <w:rPr>
                <w:rFonts w:hint="eastAsia" w:cs="宋体" w:asciiTheme="minorEastAsia" w:hAnsiTheme="minorEastAsia" w:eastAsiaTheme="minorEastAsia"/>
                <w:sz w:val="21"/>
                <w:szCs w:val="21"/>
                <w:highlight w:val="none"/>
              </w:rPr>
              <w:t>分；</w:t>
            </w:r>
          </w:p>
          <w:p w14:paraId="4D89B7AE">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方案不完整，具有一定操作性、科学性、合理性，较完全响应采购需求的得</w:t>
            </w:r>
            <w:r>
              <w:rPr>
                <w:rFonts w:hint="eastAsia" w:cs="宋体" w:asciiTheme="minorEastAsia" w:hAnsiTheme="minorEastAsia" w:eastAsiaTheme="minorEastAsia"/>
                <w:sz w:val="21"/>
                <w:szCs w:val="21"/>
                <w:highlight w:val="none"/>
                <w:lang w:val="en-US" w:eastAsia="zh-CN"/>
              </w:rPr>
              <w:t>24</w:t>
            </w:r>
            <w:r>
              <w:rPr>
                <w:rFonts w:hint="eastAsia"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lang w:val="en-US" w:eastAsia="zh-CN"/>
              </w:rPr>
              <w:t>15</w:t>
            </w:r>
            <w:r>
              <w:rPr>
                <w:rFonts w:hint="eastAsia" w:cs="宋体" w:asciiTheme="minorEastAsia" w:hAnsiTheme="minorEastAsia" w:eastAsiaTheme="minorEastAsia"/>
                <w:sz w:val="21"/>
                <w:szCs w:val="21"/>
                <w:highlight w:val="none"/>
              </w:rPr>
              <w:t>分；</w:t>
            </w:r>
          </w:p>
          <w:p w14:paraId="22712B15">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方案不完整，可行性和响应采购需求较差的得</w:t>
            </w:r>
            <w:r>
              <w:rPr>
                <w:rFonts w:hint="eastAsia" w:cs="宋体" w:asciiTheme="minorEastAsia" w:hAnsiTheme="minorEastAsia" w:eastAsiaTheme="minorEastAsia"/>
                <w:sz w:val="21"/>
                <w:szCs w:val="21"/>
                <w:highlight w:val="none"/>
                <w:lang w:val="en-US" w:eastAsia="zh-CN"/>
              </w:rPr>
              <w:t>14</w:t>
            </w:r>
            <w:r>
              <w:rPr>
                <w:rFonts w:hint="eastAsia"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lang w:val="en-US" w:eastAsia="zh-CN"/>
              </w:rPr>
              <w:t>1</w:t>
            </w:r>
            <w:r>
              <w:rPr>
                <w:rFonts w:hint="eastAsia" w:cs="宋体" w:asciiTheme="minorEastAsia" w:hAnsiTheme="minorEastAsia" w:eastAsiaTheme="minorEastAsia"/>
                <w:sz w:val="21"/>
                <w:szCs w:val="21"/>
                <w:highlight w:val="none"/>
              </w:rPr>
              <w:t>分；</w:t>
            </w:r>
          </w:p>
          <w:p w14:paraId="651FCA39">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未提供方案的不得分。</w:t>
            </w:r>
          </w:p>
        </w:tc>
        <w:tc>
          <w:tcPr>
            <w:tcW w:w="2977" w:type="dxa"/>
            <w:vAlign w:val="center"/>
          </w:tcPr>
          <w:p w14:paraId="3C349EE2">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r>
      <w:tr w14:paraId="2191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restart"/>
            <w:vAlign w:val="center"/>
          </w:tcPr>
          <w:p w14:paraId="34A6FD7D">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w:t>
            </w:r>
          </w:p>
        </w:tc>
        <w:tc>
          <w:tcPr>
            <w:tcW w:w="1256" w:type="dxa"/>
            <w:vMerge w:val="restart"/>
            <w:vAlign w:val="center"/>
          </w:tcPr>
          <w:p w14:paraId="0F4FF78F">
            <w:pPr>
              <w:pStyle w:val="4"/>
              <w:pageBreakBefore w:val="0"/>
              <w:numPr>
                <w:ilvl w:val="0"/>
                <w:numId w:val="0"/>
              </w:numPr>
              <w:kinsoku/>
              <w:wordWrap/>
              <w:overflowPunct/>
              <w:topLinePunct w:val="0"/>
              <w:autoSpaceDE/>
              <w:autoSpaceDN/>
              <w:bidi w:val="0"/>
              <w:adjustRightInd/>
              <w:spacing w:before="0" w:after="0" w:line="360" w:lineRule="auto"/>
              <w:ind w:firstLine="0" w:firstLineChars="0"/>
              <w:jc w:val="both"/>
              <w:textAlignment w:val="auto"/>
              <w:outlineLvl w:val="9"/>
              <w:rPr>
                <w:rFonts w:cs="宋体" w:asciiTheme="minorEastAsia" w:hAnsiTheme="minorEastAsia" w:eastAsiaTheme="minorEastAsia"/>
                <w:b w:val="0"/>
                <w:sz w:val="21"/>
                <w:szCs w:val="21"/>
                <w:highlight w:val="none"/>
              </w:rPr>
            </w:pPr>
            <w:r>
              <w:rPr>
                <w:rFonts w:hint="eastAsia" w:cs="宋体" w:asciiTheme="minorEastAsia" w:hAnsiTheme="minorEastAsia" w:eastAsiaTheme="minorEastAsia"/>
                <w:b w:val="0"/>
                <w:sz w:val="21"/>
                <w:szCs w:val="21"/>
                <w:highlight w:val="none"/>
              </w:rPr>
              <w:t>履约能力2</w:t>
            </w:r>
            <w:r>
              <w:rPr>
                <w:rFonts w:hint="eastAsia" w:cs="宋体" w:asciiTheme="minorEastAsia" w:hAnsiTheme="minorEastAsia" w:eastAsiaTheme="minorEastAsia"/>
                <w:b w:val="0"/>
                <w:sz w:val="21"/>
                <w:szCs w:val="21"/>
                <w:highlight w:val="none"/>
                <w:lang w:val="en-US" w:eastAsia="zh-CN"/>
              </w:rPr>
              <w:t>5</w:t>
            </w:r>
            <w:bookmarkStart w:id="0" w:name="_GoBack"/>
            <w:bookmarkEnd w:id="0"/>
            <w:r>
              <w:rPr>
                <w:rFonts w:hint="eastAsia" w:cs="宋体" w:asciiTheme="minorEastAsia" w:hAnsiTheme="minorEastAsia" w:eastAsiaTheme="minorEastAsia"/>
                <w:b w:val="0"/>
                <w:sz w:val="21"/>
                <w:szCs w:val="21"/>
                <w:highlight w:val="none"/>
              </w:rPr>
              <w:t>分</w:t>
            </w:r>
          </w:p>
        </w:tc>
        <w:tc>
          <w:tcPr>
            <w:tcW w:w="709" w:type="dxa"/>
            <w:vAlign w:val="center"/>
          </w:tcPr>
          <w:p w14:paraId="476926C8">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3</w:t>
            </w:r>
            <w:r>
              <w:rPr>
                <w:rFonts w:hint="eastAsia" w:cs="宋体" w:asciiTheme="minorEastAsia" w:hAnsiTheme="minorEastAsia" w:eastAsiaTheme="minorEastAsia"/>
                <w:sz w:val="21"/>
                <w:szCs w:val="21"/>
                <w:highlight w:val="none"/>
              </w:rPr>
              <w:t>分</w:t>
            </w:r>
          </w:p>
        </w:tc>
        <w:tc>
          <w:tcPr>
            <w:tcW w:w="4574" w:type="dxa"/>
            <w:vAlign w:val="center"/>
          </w:tcPr>
          <w:p w14:paraId="39E09C14">
            <w:pPr>
              <w:pageBreakBefore w:val="0"/>
              <w:kinsoku/>
              <w:wordWrap/>
              <w:overflowPunct/>
              <w:topLinePunct w:val="0"/>
              <w:autoSpaceDE/>
              <w:autoSpaceDN/>
              <w:bidi w:val="0"/>
              <w:adjustRightInd/>
              <w:ind w:firstLine="0" w:firstLineChars="0"/>
              <w:textAlignment w:val="auto"/>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服务商通过ISO27001 信</w:t>
            </w:r>
            <w:r>
              <w:rPr>
                <w:rFonts w:hint="default" w:cs="宋体" w:asciiTheme="minorEastAsia" w:hAnsiTheme="minorEastAsia" w:eastAsiaTheme="minorEastAsia"/>
                <w:sz w:val="21"/>
                <w:szCs w:val="21"/>
                <w:highlight w:val="none"/>
                <w:lang w:val="en-US" w:eastAsia="zh-CN"/>
              </w:rPr>
              <w:t>息安全管理体系认证，ISO20000 信息技术服务管理认证，ISO10015 培训管理体系评价认证</w:t>
            </w:r>
            <w:r>
              <w:rPr>
                <w:rFonts w:hint="eastAsia" w:cs="宋体" w:asciiTheme="minorEastAsia" w:hAnsiTheme="minorEastAsia" w:eastAsiaTheme="minorEastAsia"/>
                <w:sz w:val="21"/>
                <w:szCs w:val="21"/>
                <w:highlight w:val="none"/>
                <w:lang w:val="en-US" w:eastAsia="zh-CN"/>
              </w:rPr>
              <w:t>的得3分，提供1个得1分，满分3分。</w:t>
            </w:r>
          </w:p>
        </w:tc>
        <w:tc>
          <w:tcPr>
            <w:tcW w:w="2977" w:type="dxa"/>
            <w:vAlign w:val="center"/>
          </w:tcPr>
          <w:p w14:paraId="2E97400A">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注：服务商须提供证书编号、查询网址及有效的证书复印件，未提供或者材料无法认定的不得分。</w:t>
            </w:r>
          </w:p>
        </w:tc>
      </w:tr>
      <w:tr w14:paraId="0522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continue"/>
            <w:vAlign w:val="center"/>
          </w:tcPr>
          <w:p w14:paraId="2BDE3C9A">
            <w:pPr>
              <w:pageBreakBefore w:val="0"/>
              <w:kinsoku/>
              <w:wordWrap/>
              <w:overflowPunct/>
              <w:topLinePunct w:val="0"/>
              <w:autoSpaceDE/>
              <w:autoSpaceDN/>
              <w:bidi w:val="0"/>
              <w:adjustRightInd/>
              <w:ind w:firstLine="0" w:firstLineChars="0"/>
              <w:textAlignment w:val="auto"/>
              <w:rPr>
                <w:rFonts w:hint="eastAsia" w:cs="宋体" w:asciiTheme="minorEastAsia" w:hAnsiTheme="minorEastAsia" w:eastAsiaTheme="minorEastAsia"/>
                <w:sz w:val="21"/>
                <w:szCs w:val="21"/>
                <w:highlight w:val="none"/>
              </w:rPr>
            </w:pPr>
          </w:p>
        </w:tc>
        <w:tc>
          <w:tcPr>
            <w:tcW w:w="1256" w:type="dxa"/>
            <w:vMerge w:val="continue"/>
            <w:vAlign w:val="center"/>
          </w:tcPr>
          <w:p w14:paraId="429838EB">
            <w:pPr>
              <w:pStyle w:val="4"/>
              <w:pageBreakBefore w:val="0"/>
              <w:numPr>
                <w:ilvl w:val="0"/>
                <w:numId w:val="0"/>
              </w:numPr>
              <w:kinsoku/>
              <w:wordWrap/>
              <w:overflowPunct/>
              <w:topLinePunct w:val="0"/>
              <w:autoSpaceDE/>
              <w:autoSpaceDN/>
              <w:bidi w:val="0"/>
              <w:adjustRightInd/>
              <w:spacing w:before="0" w:after="0" w:line="360" w:lineRule="auto"/>
              <w:ind w:firstLine="0" w:firstLineChars="0"/>
              <w:jc w:val="both"/>
              <w:textAlignment w:val="auto"/>
              <w:outlineLvl w:val="9"/>
              <w:rPr>
                <w:rFonts w:hint="eastAsia" w:cs="宋体" w:asciiTheme="minorEastAsia" w:hAnsiTheme="minorEastAsia" w:eastAsiaTheme="minorEastAsia"/>
                <w:b w:val="0"/>
                <w:sz w:val="21"/>
                <w:szCs w:val="21"/>
                <w:highlight w:val="none"/>
              </w:rPr>
            </w:pPr>
          </w:p>
        </w:tc>
        <w:tc>
          <w:tcPr>
            <w:tcW w:w="709" w:type="dxa"/>
            <w:vAlign w:val="center"/>
          </w:tcPr>
          <w:p w14:paraId="133E83D6">
            <w:pPr>
              <w:pageBreakBefore w:val="0"/>
              <w:kinsoku/>
              <w:wordWrap/>
              <w:overflowPunct/>
              <w:topLinePunct w:val="0"/>
              <w:autoSpaceDE/>
              <w:autoSpaceDN/>
              <w:bidi w:val="0"/>
              <w:adjustRightInd/>
              <w:ind w:firstLine="0" w:firstLineChars="0"/>
              <w:textAlignment w:val="auto"/>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4</w:t>
            </w:r>
            <w:r>
              <w:rPr>
                <w:rFonts w:hint="eastAsia" w:cs="宋体" w:asciiTheme="minorEastAsia" w:hAnsiTheme="minorEastAsia" w:eastAsiaTheme="minorEastAsia"/>
                <w:sz w:val="21"/>
                <w:szCs w:val="21"/>
                <w:highlight w:val="none"/>
              </w:rPr>
              <w:t>分</w:t>
            </w:r>
          </w:p>
        </w:tc>
        <w:tc>
          <w:tcPr>
            <w:tcW w:w="4574" w:type="dxa"/>
            <w:shd w:val="clear" w:color="auto" w:fill="auto"/>
            <w:vAlign w:val="center"/>
          </w:tcPr>
          <w:p w14:paraId="40EF9827">
            <w:pPr>
              <w:pageBreakBefore w:val="0"/>
              <w:kinsoku/>
              <w:wordWrap/>
              <w:overflowPunct/>
              <w:topLinePunct w:val="0"/>
              <w:autoSpaceDE/>
              <w:autoSpaceDN/>
              <w:bidi w:val="0"/>
              <w:adjustRightInd/>
              <w:ind w:firstLine="0" w:firstLineChars="0"/>
              <w:textAlignment w:val="auto"/>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服务商具有DCMM数据管理能力成熟度证书三级及以上认证得4分，二级及以下认证得2分，未提供的不得分。</w:t>
            </w:r>
          </w:p>
        </w:tc>
        <w:tc>
          <w:tcPr>
            <w:tcW w:w="2977" w:type="dxa"/>
            <w:vAlign w:val="center"/>
          </w:tcPr>
          <w:p w14:paraId="45E56CF5">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需提供有效期内的证书复印件并加盖服务商公章，未提供或者材料无法认定的不得分。</w:t>
            </w:r>
          </w:p>
        </w:tc>
      </w:tr>
      <w:tr w14:paraId="5C3D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continue"/>
            <w:vAlign w:val="center"/>
          </w:tcPr>
          <w:p w14:paraId="1CD21289">
            <w:pPr>
              <w:pageBreakBefore w:val="0"/>
              <w:kinsoku/>
              <w:wordWrap/>
              <w:overflowPunct/>
              <w:topLinePunct w:val="0"/>
              <w:autoSpaceDE/>
              <w:autoSpaceDN/>
              <w:bidi w:val="0"/>
              <w:adjustRightInd/>
              <w:ind w:firstLine="0" w:firstLineChars="0"/>
              <w:textAlignment w:val="auto"/>
              <w:rPr>
                <w:rFonts w:hint="eastAsia" w:cs="宋体" w:asciiTheme="minorEastAsia" w:hAnsiTheme="minorEastAsia" w:eastAsiaTheme="minorEastAsia"/>
                <w:sz w:val="21"/>
                <w:szCs w:val="21"/>
                <w:highlight w:val="none"/>
              </w:rPr>
            </w:pPr>
          </w:p>
        </w:tc>
        <w:tc>
          <w:tcPr>
            <w:tcW w:w="1256" w:type="dxa"/>
            <w:vMerge w:val="continue"/>
            <w:vAlign w:val="center"/>
          </w:tcPr>
          <w:p w14:paraId="2AAF1E39">
            <w:pPr>
              <w:pStyle w:val="4"/>
              <w:pageBreakBefore w:val="0"/>
              <w:numPr>
                <w:ilvl w:val="0"/>
                <w:numId w:val="0"/>
              </w:numPr>
              <w:kinsoku/>
              <w:wordWrap/>
              <w:overflowPunct/>
              <w:topLinePunct w:val="0"/>
              <w:autoSpaceDE/>
              <w:autoSpaceDN/>
              <w:bidi w:val="0"/>
              <w:adjustRightInd/>
              <w:spacing w:before="0" w:after="0" w:line="360" w:lineRule="auto"/>
              <w:ind w:firstLine="0" w:firstLineChars="0"/>
              <w:jc w:val="both"/>
              <w:textAlignment w:val="auto"/>
              <w:outlineLvl w:val="9"/>
              <w:rPr>
                <w:rFonts w:hint="eastAsia" w:cs="宋体" w:asciiTheme="minorEastAsia" w:hAnsiTheme="minorEastAsia" w:eastAsiaTheme="minorEastAsia"/>
                <w:b w:val="0"/>
                <w:sz w:val="21"/>
                <w:szCs w:val="21"/>
                <w:highlight w:val="none"/>
              </w:rPr>
            </w:pPr>
          </w:p>
        </w:tc>
        <w:tc>
          <w:tcPr>
            <w:tcW w:w="709" w:type="dxa"/>
            <w:vAlign w:val="center"/>
          </w:tcPr>
          <w:p w14:paraId="2A887355">
            <w:pPr>
              <w:pageBreakBefore w:val="0"/>
              <w:kinsoku/>
              <w:wordWrap/>
              <w:overflowPunct/>
              <w:topLinePunct w:val="0"/>
              <w:autoSpaceDE/>
              <w:autoSpaceDN/>
              <w:bidi w:val="0"/>
              <w:adjustRightInd/>
              <w:ind w:firstLine="0" w:firstLineChars="0"/>
              <w:textAlignment w:val="auto"/>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4</w:t>
            </w:r>
            <w:r>
              <w:rPr>
                <w:rFonts w:hint="eastAsia" w:cs="宋体" w:asciiTheme="minorEastAsia" w:hAnsiTheme="minorEastAsia" w:eastAsiaTheme="minorEastAsia"/>
                <w:sz w:val="21"/>
                <w:szCs w:val="21"/>
                <w:highlight w:val="none"/>
              </w:rPr>
              <w:t>分</w:t>
            </w:r>
          </w:p>
        </w:tc>
        <w:tc>
          <w:tcPr>
            <w:tcW w:w="4574" w:type="dxa"/>
            <w:shd w:val="clear" w:color="auto" w:fill="auto"/>
            <w:vAlign w:val="center"/>
          </w:tcPr>
          <w:p w14:paraId="452DE609">
            <w:pPr>
              <w:pageBreakBefore w:val="0"/>
              <w:kinsoku/>
              <w:wordWrap/>
              <w:overflowPunct/>
              <w:topLinePunct w:val="0"/>
              <w:autoSpaceDE/>
              <w:autoSpaceDN/>
              <w:bidi w:val="0"/>
              <w:adjustRightInd/>
              <w:ind w:firstLine="0" w:firstLineChars="0"/>
              <w:textAlignment w:val="auto"/>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服务商具有ITSS信息技术服务标准符合性证书三级及以上得4分，二级及以下得2分，未提供的不得分。</w:t>
            </w:r>
          </w:p>
        </w:tc>
        <w:tc>
          <w:tcPr>
            <w:tcW w:w="2977" w:type="dxa"/>
            <w:vAlign w:val="center"/>
          </w:tcPr>
          <w:p w14:paraId="6C111E0E">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需提供有效期内的证书复印件并加盖服务商公章，未提供或者材料无法认定的不得分。</w:t>
            </w:r>
          </w:p>
        </w:tc>
      </w:tr>
      <w:tr w14:paraId="1FF0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continue"/>
            <w:vAlign w:val="center"/>
          </w:tcPr>
          <w:p w14:paraId="5D6FD7BE">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c>
          <w:tcPr>
            <w:tcW w:w="1256" w:type="dxa"/>
            <w:vMerge w:val="continue"/>
            <w:vAlign w:val="center"/>
          </w:tcPr>
          <w:p w14:paraId="43812975">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c>
          <w:tcPr>
            <w:tcW w:w="709" w:type="dxa"/>
            <w:vAlign w:val="center"/>
          </w:tcPr>
          <w:p w14:paraId="3D54A59E">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4</w:t>
            </w:r>
            <w:r>
              <w:rPr>
                <w:rFonts w:hint="eastAsia" w:cs="宋体" w:asciiTheme="minorEastAsia" w:hAnsiTheme="minorEastAsia" w:eastAsiaTheme="minorEastAsia"/>
                <w:sz w:val="21"/>
                <w:szCs w:val="21"/>
                <w:highlight w:val="none"/>
              </w:rPr>
              <w:t>分</w:t>
            </w:r>
          </w:p>
        </w:tc>
        <w:tc>
          <w:tcPr>
            <w:tcW w:w="4574" w:type="dxa"/>
            <w:vAlign w:val="center"/>
          </w:tcPr>
          <w:p w14:paraId="481EA71E">
            <w:pPr>
              <w:pageBreakBefore w:val="0"/>
              <w:kinsoku/>
              <w:wordWrap/>
              <w:overflowPunct/>
              <w:topLinePunct w:val="0"/>
              <w:autoSpaceDE/>
              <w:autoSpaceDN/>
              <w:bidi w:val="0"/>
              <w:adjustRightInd/>
              <w:ind w:firstLine="0" w:firstLineChars="0"/>
              <w:textAlignment w:val="auto"/>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服务商具有网络继续教育培训系统软件著作权、考试系统软件著作权、</w:t>
            </w:r>
            <w:r>
              <w:rPr>
                <w:rFonts w:hint="eastAsia" w:cs="宋体" w:asciiTheme="minorEastAsia" w:hAnsiTheme="minorEastAsia" w:eastAsiaTheme="minorEastAsia"/>
                <w:sz w:val="21"/>
                <w:szCs w:val="21"/>
                <w:highlight w:val="none"/>
              </w:rPr>
              <w:t>继续教育信息管理系统软件著作权、系统运维监控平台软件著作权的</w:t>
            </w:r>
            <w:r>
              <w:rPr>
                <w:rFonts w:hint="eastAsia" w:cs="宋体" w:asciiTheme="minorEastAsia" w:hAnsiTheme="minorEastAsia" w:eastAsiaTheme="minorEastAsia"/>
                <w:sz w:val="21"/>
                <w:szCs w:val="21"/>
                <w:highlight w:val="none"/>
                <w:lang w:val="en-US" w:eastAsia="zh-CN"/>
              </w:rPr>
              <w:t>，每提供1个得1分，满分4分。</w:t>
            </w:r>
          </w:p>
        </w:tc>
        <w:tc>
          <w:tcPr>
            <w:tcW w:w="2977" w:type="dxa"/>
            <w:vAlign w:val="center"/>
          </w:tcPr>
          <w:p w14:paraId="52BC10B1">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提供中华人民共和国国家版权局出具的计算机软件著作权登记证书复印件并加盖服务商公章</w:t>
            </w:r>
          </w:p>
        </w:tc>
      </w:tr>
      <w:tr w14:paraId="410D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continue"/>
            <w:vAlign w:val="center"/>
          </w:tcPr>
          <w:p w14:paraId="51565242">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c>
          <w:tcPr>
            <w:tcW w:w="1256" w:type="dxa"/>
            <w:vMerge w:val="continue"/>
            <w:vAlign w:val="center"/>
          </w:tcPr>
          <w:p w14:paraId="73DC1537">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c>
          <w:tcPr>
            <w:tcW w:w="709" w:type="dxa"/>
            <w:vAlign w:val="center"/>
          </w:tcPr>
          <w:p w14:paraId="26D1EE2A">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2</w:t>
            </w:r>
            <w:r>
              <w:rPr>
                <w:rFonts w:hint="eastAsia" w:cs="宋体" w:asciiTheme="minorEastAsia" w:hAnsiTheme="minorEastAsia" w:eastAsiaTheme="minorEastAsia"/>
                <w:sz w:val="21"/>
                <w:szCs w:val="21"/>
                <w:highlight w:val="none"/>
              </w:rPr>
              <w:t>分</w:t>
            </w:r>
          </w:p>
        </w:tc>
        <w:tc>
          <w:tcPr>
            <w:tcW w:w="4574" w:type="dxa"/>
            <w:vAlign w:val="center"/>
          </w:tcPr>
          <w:p w14:paraId="438219EC">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val="en-US" w:eastAsia="zh-CN"/>
              </w:rPr>
              <w:t>平台具有有效期内的自主域名证书，通过通信管理部门ICP备案，具有有效期内的中华人民共和国电信与信息服务业务经营许可证</w:t>
            </w:r>
            <w:r>
              <w:rPr>
                <w:rFonts w:hint="eastAsia" w:cs="宋体" w:asciiTheme="minorEastAsia" w:hAnsiTheme="minorEastAsia" w:eastAsiaTheme="minorEastAsia"/>
                <w:sz w:val="21"/>
                <w:szCs w:val="21"/>
                <w:highlight w:val="none"/>
              </w:rPr>
              <w:t>的，得</w:t>
            </w:r>
            <w:r>
              <w:rPr>
                <w:rFonts w:hint="eastAsia" w:cs="宋体" w:asciiTheme="minorEastAsia" w:hAnsiTheme="minorEastAsia" w:eastAsiaTheme="minorEastAsia"/>
                <w:sz w:val="21"/>
                <w:szCs w:val="21"/>
                <w:highlight w:val="none"/>
                <w:lang w:val="en-US" w:eastAsia="zh-CN"/>
              </w:rPr>
              <w:t>2</w:t>
            </w:r>
            <w:r>
              <w:rPr>
                <w:rFonts w:hint="eastAsia" w:cs="宋体" w:asciiTheme="minorEastAsia" w:hAnsiTheme="minorEastAsia" w:eastAsiaTheme="minorEastAsia"/>
                <w:sz w:val="21"/>
                <w:szCs w:val="21"/>
                <w:highlight w:val="none"/>
              </w:rPr>
              <w:t>分。</w:t>
            </w:r>
            <w:r>
              <w:rPr>
                <w:rFonts w:hint="eastAsia" w:cs="宋体" w:asciiTheme="minorEastAsia" w:hAnsiTheme="minorEastAsia" w:eastAsiaTheme="minorEastAsia"/>
                <w:sz w:val="21"/>
                <w:szCs w:val="21"/>
                <w:highlight w:val="none"/>
                <w:lang w:val="en-US" w:eastAsia="zh-CN"/>
              </w:rPr>
              <w:t>须提供证明材料复印件并加盖公章。</w:t>
            </w:r>
          </w:p>
        </w:tc>
        <w:tc>
          <w:tcPr>
            <w:tcW w:w="2977" w:type="dxa"/>
            <w:vAlign w:val="center"/>
          </w:tcPr>
          <w:p w14:paraId="0D8653F2">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需提供有效期内的证书复印件并加盖</w:t>
            </w:r>
            <w:r>
              <w:rPr>
                <w:rFonts w:hint="eastAsia" w:cs="宋体" w:asciiTheme="minorEastAsia" w:hAnsiTheme="minorEastAsia" w:eastAsiaTheme="minorEastAsia"/>
                <w:sz w:val="21"/>
                <w:szCs w:val="21"/>
                <w:highlight w:val="none"/>
                <w:lang w:eastAsia="zh-CN"/>
              </w:rPr>
              <w:t>服务商</w:t>
            </w:r>
            <w:r>
              <w:rPr>
                <w:rFonts w:hint="eastAsia" w:cs="宋体" w:asciiTheme="minorEastAsia" w:hAnsiTheme="minorEastAsia" w:eastAsiaTheme="minorEastAsia"/>
                <w:sz w:val="21"/>
                <w:szCs w:val="21"/>
                <w:highlight w:val="none"/>
              </w:rPr>
              <w:t>公章，未提供或者材料无法认定的不得分。</w:t>
            </w:r>
          </w:p>
        </w:tc>
      </w:tr>
      <w:tr w14:paraId="7EEE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continue"/>
            <w:vAlign w:val="center"/>
          </w:tcPr>
          <w:p w14:paraId="4FF1BF4A">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c>
          <w:tcPr>
            <w:tcW w:w="1256" w:type="dxa"/>
            <w:vMerge w:val="continue"/>
            <w:vAlign w:val="center"/>
          </w:tcPr>
          <w:p w14:paraId="7105FA6F">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c>
          <w:tcPr>
            <w:tcW w:w="709" w:type="dxa"/>
            <w:vAlign w:val="center"/>
          </w:tcPr>
          <w:p w14:paraId="3A543FCB">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3分</w:t>
            </w:r>
          </w:p>
        </w:tc>
        <w:tc>
          <w:tcPr>
            <w:tcW w:w="4574" w:type="dxa"/>
            <w:vAlign w:val="center"/>
          </w:tcPr>
          <w:p w14:paraId="20608856">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具备三级及以上等级信息系统安全等级保护备案证明的，得3分，无信息安全等级保护证明的，不得分。</w:t>
            </w:r>
          </w:p>
        </w:tc>
        <w:tc>
          <w:tcPr>
            <w:tcW w:w="2977" w:type="dxa"/>
            <w:vAlign w:val="center"/>
          </w:tcPr>
          <w:p w14:paraId="49B5FBF6">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rPr>
              <w:t>需提供有效期内的</w:t>
            </w:r>
            <w:r>
              <w:rPr>
                <w:rFonts w:hint="eastAsia" w:cs="宋体" w:asciiTheme="minorEastAsia" w:hAnsiTheme="minorEastAsia" w:eastAsiaTheme="minorEastAsia"/>
                <w:sz w:val="21"/>
                <w:szCs w:val="21"/>
                <w:highlight w:val="none"/>
              </w:rPr>
              <w:t>证明文件</w:t>
            </w:r>
            <w:r>
              <w:rPr>
                <w:rFonts w:cs="宋体" w:asciiTheme="minorEastAsia" w:hAnsiTheme="minorEastAsia" w:eastAsiaTheme="minorEastAsia"/>
                <w:sz w:val="21"/>
                <w:szCs w:val="21"/>
                <w:highlight w:val="none"/>
              </w:rPr>
              <w:t>，未提供或者材料无法认定的不得分</w:t>
            </w:r>
            <w:r>
              <w:rPr>
                <w:rFonts w:hint="eastAsia" w:cs="宋体" w:asciiTheme="minorEastAsia" w:hAnsiTheme="minorEastAsia" w:eastAsiaTheme="minorEastAsia"/>
                <w:sz w:val="21"/>
                <w:szCs w:val="21"/>
                <w:highlight w:val="none"/>
              </w:rPr>
              <w:t>。</w:t>
            </w:r>
          </w:p>
        </w:tc>
      </w:tr>
      <w:tr w14:paraId="560C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continue"/>
            <w:vAlign w:val="center"/>
          </w:tcPr>
          <w:p w14:paraId="36240E3F">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c>
          <w:tcPr>
            <w:tcW w:w="1256" w:type="dxa"/>
            <w:vMerge w:val="continue"/>
            <w:vAlign w:val="center"/>
          </w:tcPr>
          <w:p w14:paraId="379F46FC">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p>
        </w:tc>
        <w:tc>
          <w:tcPr>
            <w:tcW w:w="709" w:type="dxa"/>
            <w:vAlign w:val="center"/>
          </w:tcPr>
          <w:p w14:paraId="544398E9">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5分</w:t>
            </w:r>
          </w:p>
        </w:tc>
        <w:tc>
          <w:tcPr>
            <w:tcW w:w="4574" w:type="dxa"/>
            <w:vAlign w:val="center"/>
          </w:tcPr>
          <w:p w14:paraId="1908D861">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lang w:bidi="ar"/>
              </w:rPr>
              <w:t>服务商</w:t>
            </w:r>
            <w:r>
              <w:rPr>
                <w:rFonts w:cs="宋体" w:asciiTheme="minorEastAsia" w:hAnsiTheme="minorEastAsia" w:eastAsiaTheme="minorEastAsia"/>
                <w:kern w:val="0"/>
                <w:sz w:val="21"/>
                <w:szCs w:val="21"/>
                <w:highlight w:val="none"/>
                <w:lang w:bidi="ar"/>
              </w:rPr>
              <w:t>需提供</w:t>
            </w:r>
            <w:r>
              <w:rPr>
                <w:rFonts w:hint="eastAsia" w:cs="宋体" w:asciiTheme="minorEastAsia" w:hAnsiTheme="minorEastAsia" w:eastAsiaTheme="minorEastAsia"/>
                <w:kern w:val="0"/>
                <w:sz w:val="21"/>
                <w:szCs w:val="21"/>
                <w:highlight w:val="none"/>
                <w:lang w:val="en-US" w:eastAsia="zh-CN" w:bidi="ar"/>
              </w:rPr>
              <w:t>移动、电信、联通</w:t>
            </w:r>
            <w:r>
              <w:rPr>
                <w:rFonts w:cs="宋体" w:asciiTheme="minorEastAsia" w:hAnsiTheme="minorEastAsia" w:eastAsiaTheme="minorEastAsia"/>
                <w:kern w:val="0"/>
                <w:sz w:val="21"/>
                <w:szCs w:val="21"/>
                <w:highlight w:val="none"/>
                <w:lang w:bidi="ar"/>
              </w:rPr>
              <w:t>三大基础运营商之一或其下属分支机构出具的证明复印件</w:t>
            </w:r>
            <w:r>
              <w:rPr>
                <w:rFonts w:hint="eastAsia" w:cs="宋体" w:asciiTheme="minorEastAsia" w:hAnsiTheme="minorEastAsia" w:eastAsiaTheme="minorEastAsia"/>
                <w:kern w:val="0"/>
                <w:sz w:val="21"/>
                <w:szCs w:val="21"/>
                <w:highlight w:val="none"/>
                <w:lang w:bidi="ar"/>
              </w:rPr>
              <w:t>，</w:t>
            </w:r>
            <w:r>
              <w:rPr>
                <w:rFonts w:cs="宋体" w:asciiTheme="minorEastAsia" w:hAnsiTheme="minorEastAsia" w:eastAsiaTheme="minorEastAsia"/>
                <w:kern w:val="0"/>
                <w:sz w:val="21"/>
                <w:szCs w:val="21"/>
                <w:highlight w:val="none"/>
                <w:lang w:bidi="ar"/>
              </w:rPr>
              <w:t>初始能提供独享3G（含）以上互联网接入带宽的得</w:t>
            </w:r>
            <w:r>
              <w:rPr>
                <w:rFonts w:hint="eastAsia" w:cs="宋体" w:asciiTheme="minorEastAsia" w:hAnsiTheme="minorEastAsia" w:eastAsiaTheme="minorEastAsia"/>
                <w:kern w:val="0"/>
                <w:sz w:val="21"/>
                <w:szCs w:val="21"/>
                <w:highlight w:val="none"/>
                <w:lang w:bidi="ar"/>
              </w:rPr>
              <w:t>5</w:t>
            </w:r>
            <w:r>
              <w:rPr>
                <w:rFonts w:cs="宋体" w:asciiTheme="minorEastAsia" w:hAnsiTheme="minorEastAsia" w:eastAsiaTheme="minorEastAsia"/>
                <w:kern w:val="0"/>
                <w:sz w:val="21"/>
                <w:szCs w:val="21"/>
                <w:highlight w:val="none"/>
                <w:lang w:bidi="ar"/>
              </w:rPr>
              <w:t>分，初始能提供独享1G（含）以上，但不足3G的互联网接入带宽的得2分，初始能够提供独享1G（含）以上，但无法提供三大基础运营商之一或其下属分支机构出具的证明的，得1分；其它未列情况均不得分。</w:t>
            </w:r>
          </w:p>
        </w:tc>
        <w:tc>
          <w:tcPr>
            <w:tcW w:w="2977" w:type="dxa"/>
            <w:vAlign w:val="center"/>
          </w:tcPr>
          <w:p w14:paraId="75EBF3A5">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提供证明材料复印件</w:t>
            </w:r>
          </w:p>
        </w:tc>
      </w:tr>
      <w:tr w14:paraId="72DD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Align w:val="center"/>
          </w:tcPr>
          <w:p w14:paraId="7459705B">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4</w:t>
            </w:r>
          </w:p>
        </w:tc>
        <w:tc>
          <w:tcPr>
            <w:tcW w:w="1256" w:type="dxa"/>
            <w:vAlign w:val="center"/>
          </w:tcPr>
          <w:p w14:paraId="7B317FF6">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运营维护及售后服务2</w:t>
            </w:r>
            <w:r>
              <w:rPr>
                <w:rFonts w:hint="eastAsia" w:cs="宋体" w:asciiTheme="minorEastAsia" w:hAnsiTheme="minorEastAsia" w:eastAsiaTheme="minorEastAsia"/>
                <w:sz w:val="21"/>
                <w:szCs w:val="21"/>
                <w:highlight w:val="none"/>
                <w:lang w:val="en-US" w:eastAsia="zh-CN"/>
              </w:rPr>
              <w:t>5</w:t>
            </w:r>
            <w:r>
              <w:rPr>
                <w:rFonts w:hint="eastAsia" w:cs="宋体" w:asciiTheme="minorEastAsia" w:hAnsiTheme="minorEastAsia" w:eastAsiaTheme="minorEastAsia"/>
                <w:sz w:val="21"/>
                <w:szCs w:val="21"/>
                <w:highlight w:val="none"/>
              </w:rPr>
              <w:t>分</w:t>
            </w:r>
          </w:p>
        </w:tc>
        <w:tc>
          <w:tcPr>
            <w:tcW w:w="709" w:type="dxa"/>
            <w:vAlign w:val="center"/>
          </w:tcPr>
          <w:p w14:paraId="10187272">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w:t>
            </w:r>
            <w:r>
              <w:rPr>
                <w:rFonts w:hint="eastAsia" w:cs="宋体" w:asciiTheme="minorEastAsia" w:hAnsiTheme="minorEastAsia" w:eastAsiaTheme="minorEastAsia"/>
                <w:sz w:val="21"/>
                <w:szCs w:val="21"/>
                <w:highlight w:val="none"/>
                <w:lang w:val="en-US" w:eastAsia="zh-CN"/>
              </w:rPr>
              <w:t>5</w:t>
            </w:r>
            <w:r>
              <w:rPr>
                <w:rFonts w:hint="eastAsia" w:cs="宋体" w:asciiTheme="minorEastAsia" w:hAnsiTheme="minorEastAsia" w:eastAsiaTheme="minorEastAsia"/>
                <w:sz w:val="21"/>
                <w:szCs w:val="21"/>
                <w:highlight w:val="none"/>
              </w:rPr>
              <w:t>分</w:t>
            </w:r>
          </w:p>
        </w:tc>
        <w:tc>
          <w:tcPr>
            <w:tcW w:w="4574" w:type="dxa"/>
            <w:vAlign w:val="center"/>
          </w:tcPr>
          <w:p w14:paraId="0B709657">
            <w:pPr>
              <w:pageBreakBefore w:val="0"/>
              <w:kinsoku/>
              <w:wordWrap/>
              <w:overflowPunct/>
              <w:topLinePunct w:val="0"/>
              <w:autoSpaceDE/>
              <w:autoSpaceDN/>
              <w:bidi w:val="0"/>
              <w:adjustRightInd/>
              <w:snapToGrid w:val="0"/>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根据服务商对本项目提供运维服务方案，以及响应采购方需求情况进行综合评审：</w:t>
            </w:r>
          </w:p>
          <w:p w14:paraId="35C0E9A8">
            <w:pPr>
              <w:pageBreakBefore w:val="0"/>
              <w:kinsoku/>
              <w:wordWrap/>
              <w:overflowPunct/>
              <w:topLinePunct w:val="0"/>
              <w:autoSpaceDE/>
              <w:autoSpaceDN/>
              <w:bidi w:val="0"/>
              <w:adjustRightInd/>
              <w:snapToGrid w:val="0"/>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方案完整包括维护人员保障、客服服务、财务结算、技术支持、平台运营维护等多种配套服务，具有较强可行性、稳定性、安全性、高效性以及服务周全细致，完全响应采购方需求的得2</w:t>
            </w:r>
            <w:r>
              <w:rPr>
                <w:rFonts w:hint="eastAsia" w:cs="宋体" w:asciiTheme="minorEastAsia" w:hAnsiTheme="minorEastAsia" w:eastAsiaTheme="minorEastAsia"/>
                <w:sz w:val="21"/>
                <w:szCs w:val="21"/>
                <w:highlight w:val="none"/>
                <w:lang w:val="en-US" w:eastAsia="zh-CN"/>
              </w:rPr>
              <w:t>5</w:t>
            </w:r>
            <w:r>
              <w:rPr>
                <w:rFonts w:hint="eastAsia"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lang w:val="en-US" w:eastAsia="zh-CN"/>
              </w:rPr>
              <w:t>20</w:t>
            </w:r>
            <w:r>
              <w:rPr>
                <w:rFonts w:hint="eastAsia" w:cs="宋体" w:asciiTheme="minorEastAsia" w:hAnsiTheme="minorEastAsia" w:eastAsiaTheme="minorEastAsia"/>
                <w:sz w:val="21"/>
                <w:szCs w:val="21"/>
                <w:highlight w:val="none"/>
              </w:rPr>
              <w:t>分；</w:t>
            </w:r>
          </w:p>
          <w:p w14:paraId="36F847A6">
            <w:pPr>
              <w:pageBreakBefore w:val="0"/>
              <w:kinsoku/>
              <w:wordWrap/>
              <w:overflowPunct/>
              <w:topLinePunct w:val="0"/>
              <w:autoSpaceDE/>
              <w:autoSpaceDN/>
              <w:bidi w:val="0"/>
              <w:adjustRightInd/>
              <w:snapToGrid w:val="0"/>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方案不完整包括课件制作、学员客服、财务结算、技术支持、平台运营维护等多种配套服务，具有一定可行性、稳定性、安全性、高效性以及服务较为周全细致，较完全响应采购方需求的得1</w:t>
            </w:r>
            <w:r>
              <w:rPr>
                <w:rFonts w:hint="eastAsia" w:cs="宋体" w:asciiTheme="minorEastAsia" w:hAnsiTheme="minorEastAsia" w:eastAsiaTheme="minorEastAsia"/>
                <w:sz w:val="21"/>
                <w:szCs w:val="21"/>
                <w:highlight w:val="none"/>
                <w:lang w:val="en-US" w:eastAsia="zh-CN"/>
              </w:rPr>
              <w:t>9</w:t>
            </w:r>
            <w:r>
              <w:rPr>
                <w:rFonts w:hint="eastAsia" w:cs="宋体" w:asciiTheme="minorEastAsia" w:hAnsiTheme="minorEastAsia" w:eastAsiaTheme="minorEastAsia"/>
                <w:sz w:val="21"/>
                <w:szCs w:val="21"/>
                <w:highlight w:val="none"/>
              </w:rPr>
              <w:t>-9分；</w:t>
            </w:r>
          </w:p>
          <w:p w14:paraId="6B6D4FCB">
            <w:pPr>
              <w:pageBreakBefore w:val="0"/>
              <w:kinsoku/>
              <w:wordWrap/>
              <w:overflowPunct/>
              <w:topLinePunct w:val="0"/>
              <w:autoSpaceDE/>
              <w:autoSpaceDN/>
              <w:bidi w:val="0"/>
              <w:adjustRightInd/>
              <w:snapToGrid w:val="0"/>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方案不完整，可行性、稳定性、安全性、高效性较差以及服务不够周全细致，响应采购方需求较差的得8-1分；</w:t>
            </w:r>
          </w:p>
          <w:p w14:paraId="6EE6A409">
            <w:pPr>
              <w:pageBreakBefore w:val="0"/>
              <w:kinsoku/>
              <w:wordWrap/>
              <w:overflowPunct/>
              <w:topLinePunct w:val="0"/>
              <w:autoSpaceDE/>
              <w:autoSpaceDN/>
              <w:bidi w:val="0"/>
              <w:adjustRightInd/>
              <w:snapToGrid w:val="0"/>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未提供方案的不得分。</w:t>
            </w:r>
          </w:p>
        </w:tc>
        <w:tc>
          <w:tcPr>
            <w:tcW w:w="2977" w:type="dxa"/>
            <w:vAlign w:val="center"/>
          </w:tcPr>
          <w:p w14:paraId="1629452D">
            <w:pPr>
              <w:pageBreakBefore w:val="0"/>
              <w:kinsoku/>
              <w:wordWrap/>
              <w:overflowPunct/>
              <w:topLinePunct w:val="0"/>
              <w:autoSpaceDE/>
              <w:autoSpaceDN/>
              <w:bidi w:val="0"/>
              <w:adjustRightInd/>
              <w:ind w:firstLine="0" w:firstLineChars="0"/>
              <w:textAlignment w:val="auto"/>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提供针对本项目的服务方案</w:t>
            </w:r>
          </w:p>
        </w:tc>
      </w:tr>
      <w:tr w14:paraId="599C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Align w:val="center"/>
          </w:tcPr>
          <w:p w14:paraId="608F628E">
            <w:pPr>
              <w:pageBreakBefore w:val="0"/>
              <w:kinsoku/>
              <w:wordWrap/>
              <w:overflowPunct/>
              <w:topLinePunct w:val="0"/>
              <w:autoSpaceDE/>
              <w:autoSpaceDN/>
              <w:bidi w:val="0"/>
              <w:adjustRightInd/>
              <w:ind w:firstLine="0" w:firstLineChars="0"/>
              <w:textAlignment w:val="auto"/>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5</w:t>
            </w:r>
          </w:p>
        </w:tc>
        <w:tc>
          <w:tcPr>
            <w:tcW w:w="1256" w:type="dxa"/>
            <w:vAlign w:val="center"/>
          </w:tcPr>
          <w:p w14:paraId="1BF000A0">
            <w:pPr>
              <w:pageBreakBefore w:val="0"/>
              <w:kinsoku/>
              <w:wordWrap/>
              <w:overflowPunct/>
              <w:topLinePunct w:val="0"/>
              <w:autoSpaceDE/>
              <w:autoSpaceDN/>
              <w:bidi w:val="0"/>
              <w:adjustRightInd/>
              <w:ind w:firstLine="0" w:firstLineChars="0"/>
              <w:textAlignment w:val="auto"/>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业绩案例</w:t>
            </w:r>
          </w:p>
        </w:tc>
        <w:tc>
          <w:tcPr>
            <w:tcW w:w="709" w:type="dxa"/>
            <w:vAlign w:val="center"/>
          </w:tcPr>
          <w:p w14:paraId="35D2DF55">
            <w:pPr>
              <w:pageBreakBefore w:val="0"/>
              <w:kinsoku/>
              <w:wordWrap/>
              <w:overflowPunct/>
              <w:topLinePunct w:val="0"/>
              <w:autoSpaceDE/>
              <w:autoSpaceDN/>
              <w:bidi w:val="0"/>
              <w:adjustRightInd/>
              <w:ind w:firstLine="0" w:firstLineChars="0"/>
              <w:textAlignment w:val="auto"/>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10</w:t>
            </w:r>
          </w:p>
        </w:tc>
        <w:tc>
          <w:tcPr>
            <w:tcW w:w="4574" w:type="dxa"/>
            <w:vAlign w:val="center"/>
          </w:tcPr>
          <w:p w14:paraId="30B4928B">
            <w:pPr>
              <w:pageBreakBefore w:val="0"/>
              <w:kinsoku/>
              <w:wordWrap/>
              <w:overflowPunct/>
              <w:topLinePunct w:val="0"/>
              <w:autoSpaceDE/>
              <w:autoSpaceDN/>
              <w:bidi w:val="0"/>
              <w:adjustRightInd/>
              <w:snapToGrid w:val="0"/>
              <w:ind w:firstLine="0" w:firstLineChars="0"/>
              <w:textAlignment w:val="auto"/>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根据</w:t>
            </w:r>
            <w:r>
              <w:rPr>
                <w:rFonts w:hint="eastAsia" w:cs="宋体" w:asciiTheme="minorEastAsia" w:hAnsiTheme="minorEastAsia" w:eastAsiaTheme="minorEastAsia"/>
                <w:sz w:val="21"/>
                <w:szCs w:val="21"/>
                <w:highlight w:val="none"/>
                <w:lang w:eastAsia="zh-CN"/>
              </w:rPr>
              <w:t>服务商</w:t>
            </w:r>
            <w:r>
              <w:rPr>
                <w:rFonts w:hint="eastAsia" w:cs="宋体" w:asciiTheme="minorEastAsia" w:hAnsiTheme="minorEastAsia" w:eastAsiaTheme="minorEastAsia"/>
                <w:sz w:val="21"/>
                <w:szCs w:val="21"/>
                <w:highlight w:val="none"/>
              </w:rPr>
              <w:t>提供的自20</w:t>
            </w:r>
            <w:r>
              <w:rPr>
                <w:rFonts w:hint="eastAsia" w:cs="宋体" w:asciiTheme="minorEastAsia" w:hAnsiTheme="minorEastAsia" w:eastAsiaTheme="minorEastAsia"/>
                <w:sz w:val="21"/>
                <w:szCs w:val="21"/>
                <w:highlight w:val="none"/>
                <w:lang w:val="en-US" w:eastAsia="zh-CN"/>
              </w:rPr>
              <w:t>21</w:t>
            </w:r>
            <w:r>
              <w:rPr>
                <w:rFonts w:hint="eastAsia" w:cs="宋体" w:asciiTheme="minorEastAsia" w:hAnsiTheme="minorEastAsia" w:eastAsiaTheme="minorEastAsia"/>
                <w:sz w:val="21"/>
                <w:szCs w:val="21"/>
                <w:highlight w:val="none"/>
              </w:rPr>
              <w:t>年01月01日起至本项目投标截止时间止（日期以合同签订时间为准），由</w:t>
            </w:r>
            <w:r>
              <w:rPr>
                <w:rFonts w:hint="eastAsia" w:cs="宋体" w:asciiTheme="minorEastAsia" w:hAnsiTheme="minorEastAsia" w:eastAsiaTheme="minorEastAsia"/>
                <w:sz w:val="21"/>
                <w:szCs w:val="21"/>
                <w:highlight w:val="none"/>
                <w:lang w:eastAsia="zh-CN"/>
              </w:rPr>
              <w:t>服务商</w:t>
            </w:r>
            <w:r>
              <w:rPr>
                <w:rFonts w:hint="eastAsia" w:cs="宋体" w:asciiTheme="minorEastAsia" w:hAnsiTheme="minorEastAsia" w:eastAsiaTheme="minorEastAsia"/>
                <w:sz w:val="21"/>
                <w:szCs w:val="21"/>
                <w:highlight w:val="none"/>
              </w:rPr>
              <w:t>承接的与本次采购同类项目业绩情况，由评委进行评分：每提供一个合格业绩得</w:t>
            </w:r>
            <w:r>
              <w:rPr>
                <w:rFonts w:hint="eastAsia" w:cs="宋体" w:asciiTheme="minorEastAsia" w:hAnsiTheme="minorEastAsia" w:eastAsiaTheme="minorEastAsia"/>
                <w:sz w:val="21"/>
                <w:szCs w:val="21"/>
                <w:highlight w:val="none"/>
                <w:lang w:val="en-US" w:eastAsia="zh-CN"/>
              </w:rPr>
              <w:t>2</w:t>
            </w:r>
            <w:r>
              <w:rPr>
                <w:rFonts w:hint="eastAsia" w:cs="宋体" w:asciiTheme="minorEastAsia" w:hAnsiTheme="minorEastAsia" w:eastAsiaTheme="minorEastAsia"/>
                <w:sz w:val="21"/>
                <w:szCs w:val="21"/>
                <w:highlight w:val="none"/>
              </w:rPr>
              <w:t>分，满分</w:t>
            </w: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分。</w:t>
            </w:r>
          </w:p>
        </w:tc>
        <w:tc>
          <w:tcPr>
            <w:tcW w:w="2977" w:type="dxa"/>
            <w:vAlign w:val="center"/>
          </w:tcPr>
          <w:p w14:paraId="5AA2BFA6">
            <w:pPr>
              <w:pageBreakBefore w:val="0"/>
              <w:kinsoku/>
              <w:wordWrap/>
              <w:overflowPunct/>
              <w:topLinePunct w:val="0"/>
              <w:autoSpaceDE/>
              <w:autoSpaceDN/>
              <w:bidi w:val="0"/>
              <w:adjustRightInd/>
              <w:ind w:firstLine="0" w:firstLineChars="0"/>
              <w:textAlignment w:val="auto"/>
              <w:rPr>
                <w:rFonts w:hint="eastAsia"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lang w:eastAsia="zh-CN"/>
              </w:rPr>
              <w:t>服务商</w:t>
            </w:r>
            <w:r>
              <w:rPr>
                <w:rFonts w:hint="eastAsia" w:cs="宋体" w:asciiTheme="minorEastAsia" w:hAnsiTheme="minorEastAsia" w:eastAsiaTheme="minorEastAsia"/>
                <w:sz w:val="21"/>
                <w:szCs w:val="21"/>
                <w:highlight w:val="none"/>
              </w:rPr>
              <w:t>须同时提供该业绩项目的中标/成交公告（提供相关网站中标/成交公告的下载网页并注明网址）、中标/成交通知书复印件、采购合同文本复印件。</w:t>
            </w:r>
          </w:p>
        </w:tc>
      </w:tr>
    </w:tbl>
    <w:p w14:paraId="50EC79F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C6505"/>
    <w:rsid w:val="03320264"/>
    <w:rsid w:val="28BA2872"/>
    <w:rsid w:val="31037655"/>
    <w:rsid w:val="37D036A7"/>
    <w:rsid w:val="44BC6505"/>
    <w:rsid w:val="47E6583D"/>
    <w:rsid w:val="7769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0" w:firstLineChars="200"/>
      <w:jc w:val="both"/>
    </w:pPr>
    <w:rPr>
      <w:rFonts w:eastAsia="仿宋" w:asciiTheme="minorAscii" w:hAnsiTheme="minorAscii" w:cstheme="minorBidi"/>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5（有编号）（绿盟科技）"/>
    <w:basedOn w:val="1"/>
    <w:next w:val="1"/>
    <w:qFormat/>
    <w:uiPriority w:val="0"/>
    <w:pPr>
      <w:keepNext/>
      <w:keepLines/>
      <w:widowControl/>
      <w:numPr>
        <w:ilvl w:val="4"/>
        <w:numId w:val="1"/>
      </w:numPr>
      <w:spacing w:before="280" w:after="156" w:line="377" w:lineRule="auto"/>
      <w:jc w:val="left"/>
      <w:outlineLvl w:val="4"/>
    </w:pPr>
    <w:rPr>
      <w:rFonts w:ascii="Arial" w:hAnsi="Arial" w:eastAsia="黑体" w:cs="黑体"/>
      <w:b/>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1502</Words>
  <Characters>1574</Characters>
  <Lines>0</Lines>
  <Paragraphs>0</Paragraphs>
  <TotalTime>6</TotalTime>
  <ScaleCrop>false</ScaleCrop>
  <LinksUpToDate>false</LinksUpToDate>
  <CharactersWithSpaces>1577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2025-04-03T01:45:00Z</dcterms:created>
  <dc:creator>刀刀。</dc:creator>
  <cp:lastModifiedBy>彳亍</cp:lastModifiedBy>
  <dcterms:modified xsi:type="dcterms:W3CDTF">2025-07-07T06:38:49Z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C072929BFD8B45D2B01611DA9811FE5B_13</vt:lpwstr>
  </property>
  <property fmtid="{D5CDD505-2E9C-101B-9397-08002B2CF9AE}" pid="4" name="KSOTemplateDocerSaveRecord">
    <vt:lpwstr>eyJoZGlkIjoiYzc3MmEzYWYxZmRmY2FkYjY0MzhiZDgwNDlmNjE0NjkiLCJ1c2VySWQiOiIzODkzNTE2MDMifQ==</vt:lpwstr>
  </property>
</Properties>
</file>